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70F" w:rsidRPr="0065270F" w:rsidRDefault="00A010A5" w:rsidP="0065270F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3A do SIWZ</w:t>
      </w:r>
      <w:bookmarkStart w:id="0" w:name="_GoBack"/>
      <w:bookmarkEnd w:id="0"/>
    </w:p>
    <w:p w:rsidR="00E523F7" w:rsidRPr="00E523F7" w:rsidRDefault="00E523F7" w:rsidP="00DA5B92">
      <w:pPr>
        <w:spacing w:after="0" w:line="240" w:lineRule="auto"/>
        <w:jc w:val="center"/>
        <w:rPr>
          <w:b/>
          <w:sz w:val="32"/>
          <w:szCs w:val="32"/>
        </w:rPr>
      </w:pPr>
      <w:r w:rsidRPr="00E523F7">
        <w:rPr>
          <w:b/>
          <w:sz w:val="32"/>
          <w:szCs w:val="32"/>
        </w:rPr>
        <w:t>SPECYFIKACJA TECHNICZNA</w:t>
      </w:r>
    </w:p>
    <w:p w:rsidR="004423B1" w:rsidRPr="000F3A81" w:rsidRDefault="004423B1" w:rsidP="00D17017">
      <w:pPr>
        <w:spacing w:after="0" w:line="240" w:lineRule="auto"/>
        <w:jc w:val="center"/>
        <w:rPr>
          <w:sz w:val="16"/>
          <w:szCs w:val="16"/>
        </w:rPr>
      </w:pPr>
      <w:r w:rsidRPr="00E57013">
        <w:rPr>
          <w:sz w:val="32"/>
          <w:szCs w:val="32"/>
        </w:rPr>
        <w:t xml:space="preserve">Dane techniczne i opis </w:t>
      </w:r>
      <w:r w:rsidR="006137F8" w:rsidRPr="00E57013">
        <w:rPr>
          <w:sz w:val="32"/>
          <w:szCs w:val="32"/>
        </w:rPr>
        <w:t xml:space="preserve">generatora </w:t>
      </w:r>
      <w:r w:rsidR="00F15E43" w:rsidRPr="00E57013">
        <w:rPr>
          <w:sz w:val="32"/>
          <w:szCs w:val="32"/>
        </w:rPr>
        <w:t>mikrofalowego dużej mocy</w:t>
      </w:r>
      <w:r w:rsidR="00292973" w:rsidRPr="00E57013">
        <w:rPr>
          <w:sz w:val="32"/>
          <w:szCs w:val="32"/>
        </w:rPr>
        <w:t xml:space="preserve"> </w:t>
      </w:r>
      <w:r w:rsidR="004B4DFE">
        <w:rPr>
          <w:sz w:val="32"/>
          <w:szCs w:val="32"/>
        </w:rPr>
        <w:br/>
      </w:r>
    </w:p>
    <w:p w:rsidR="004423B1" w:rsidRPr="0052550F" w:rsidRDefault="00726453" w:rsidP="00665F20">
      <w:pPr>
        <w:spacing w:after="0" w:line="240" w:lineRule="auto"/>
        <w:ind w:firstLine="708"/>
        <w:jc w:val="both"/>
      </w:pPr>
      <w:r w:rsidRPr="0052550F">
        <w:t>Generator mikrofalowy dużej mocy, przeznaczo</w:t>
      </w:r>
      <w:r w:rsidR="00E523F7">
        <w:t xml:space="preserve">ny do generowania pojedynczych </w:t>
      </w:r>
      <w:r w:rsidR="00E523F7" w:rsidRPr="00B55D02">
        <w:t xml:space="preserve">lub </w:t>
      </w:r>
      <w:r w:rsidR="00B83FEA">
        <w:t xml:space="preserve">ciągu </w:t>
      </w:r>
      <w:r w:rsidRPr="00330D3D">
        <w:t>impulsów</w:t>
      </w:r>
      <w:r w:rsidRPr="00D5172D">
        <w:t>.</w:t>
      </w:r>
      <w:r w:rsidRPr="0052550F">
        <w:t xml:space="preserve"> Generator </w:t>
      </w:r>
      <w:r w:rsidR="00B83FEA">
        <w:t xml:space="preserve">mikrofalowy dużej mocy </w:t>
      </w:r>
      <w:r w:rsidRPr="0052550F">
        <w:t>o</w:t>
      </w:r>
      <w:r w:rsidR="003125F0">
        <w:t xml:space="preserve">party na magnetronie </w:t>
      </w:r>
      <w:r w:rsidR="00AB13CD">
        <w:t>połączony z anteną</w:t>
      </w:r>
      <w:r w:rsidR="003125F0">
        <w:t xml:space="preserve"> i komorą referencyjną</w:t>
      </w:r>
      <w:r w:rsidR="00B83FEA">
        <w:t xml:space="preserve"> w której znajduje się obszar badawczy</w:t>
      </w:r>
      <w:r w:rsidR="003125F0">
        <w:t xml:space="preserve"> tworzy jedną całość. Z</w:t>
      </w:r>
      <w:r w:rsidRPr="0052550F">
        <w:t xml:space="preserve">asilany z </w:t>
      </w:r>
      <w:r w:rsidR="008456CC">
        <w:t>sieci elektrycznej jedno</w:t>
      </w:r>
      <w:r w:rsidR="003E4931">
        <w:t>fazowej (230V) lub 3-fazowej (40</w:t>
      </w:r>
      <w:r w:rsidR="003125F0">
        <w:t xml:space="preserve">0V). </w:t>
      </w:r>
      <w:r w:rsidR="00665F20" w:rsidRPr="0052550F">
        <w:t xml:space="preserve">Sterowanie parametrami generatora oraz wyzwalanie impulsów HPM </w:t>
      </w:r>
      <w:r w:rsidR="0063221A">
        <w:t xml:space="preserve">realizowane jest </w:t>
      </w:r>
      <w:r w:rsidR="00665F20" w:rsidRPr="0052550F">
        <w:t xml:space="preserve">za pomocą </w:t>
      </w:r>
      <w:r w:rsidR="003125F0">
        <w:t>oprogramowania kontrolno-sterującego zainstalowanego na komputerze</w:t>
      </w:r>
      <w:r w:rsidR="00665F20" w:rsidRPr="0052550F">
        <w:t xml:space="preserve"> PC</w:t>
      </w:r>
      <w:r w:rsidR="003125F0">
        <w:t xml:space="preserve">. Kontrola i sterowanie </w:t>
      </w:r>
      <w:r w:rsidR="0063221A">
        <w:t xml:space="preserve">generatora mikrofalowego dużej mocy realizowane jest </w:t>
      </w:r>
      <w:r w:rsidR="003125F0">
        <w:t xml:space="preserve">przez </w:t>
      </w:r>
      <w:r w:rsidR="00665F20" w:rsidRPr="0052550F">
        <w:t>konwerter światłowodowy</w:t>
      </w:r>
      <w:r w:rsidR="003125F0">
        <w:t xml:space="preserve"> podłączony do komputer przez złącze</w:t>
      </w:r>
      <w:r w:rsidR="003125F0" w:rsidRPr="003125F0">
        <w:t xml:space="preserve"> </w:t>
      </w:r>
      <w:r w:rsidR="0063221A">
        <w:t xml:space="preserve">szeregowe </w:t>
      </w:r>
      <w:r w:rsidR="003125F0" w:rsidRPr="0052550F">
        <w:t>USB lub RS232</w:t>
      </w:r>
      <w:r w:rsidR="003125F0">
        <w:t>.</w:t>
      </w:r>
    </w:p>
    <w:p w:rsidR="00726453" w:rsidRPr="000F3A81" w:rsidRDefault="00726453" w:rsidP="004423B1">
      <w:pPr>
        <w:spacing w:after="0" w:line="240" w:lineRule="auto"/>
        <w:rPr>
          <w:sz w:val="16"/>
          <w:szCs w:val="16"/>
        </w:rPr>
      </w:pPr>
    </w:p>
    <w:tbl>
      <w:tblPr>
        <w:tblStyle w:val="Siatkatabeli"/>
        <w:tblW w:w="9493" w:type="dxa"/>
        <w:tblLook w:val="04A0" w:firstRow="1" w:lastRow="0" w:firstColumn="1" w:lastColumn="0" w:noHBand="0" w:noVBand="1"/>
      </w:tblPr>
      <w:tblGrid>
        <w:gridCol w:w="562"/>
        <w:gridCol w:w="2835"/>
        <w:gridCol w:w="6096"/>
      </w:tblGrid>
      <w:tr w:rsidR="004423B1" w:rsidRPr="0052550F" w:rsidTr="00EB5B5F">
        <w:tc>
          <w:tcPr>
            <w:tcW w:w="562" w:type="dxa"/>
          </w:tcPr>
          <w:p w:rsidR="004423B1" w:rsidRPr="0052550F" w:rsidRDefault="004423B1" w:rsidP="00665F20">
            <w:pPr>
              <w:jc w:val="center"/>
              <w:rPr>
                <w:b/>
              </w:rPr>
            </w:pPr>
            <w:r w:rsidRPr="0052550F">
              <w:rPr>
                <w:b/>
              </w:rPr>
              <w:t>Lp.</w:t>
            </w:r>
          </w:p>
        </w:tc>
        <w:tc>
          <w:tcPr>
            <w:tcW w:w="2835" w:type="dxa"/>
          </w:tcPr>
          <w:p w:rsidR="004423B1" w:rsidRPr="0052550F" w:rsidRDefault="004423B1" w:rsidP="00665F20">
            <w:pPr>
              <w:jc w:val="center"/>
              <w:rPr>
                <w:b/>
              </w:rPr>
            </w:pPr>
            <w:r w:rsidRPr="0052550F">
              <w:rPr>
                <w:b/>
              </w:rPr>
              <w:t>Parametr</w:t>
            </w:r>
          </w:p>
        </w:tc>
        <w:tc>
          <w:tcPr>
            <w:tcW w:w="6096" w:type="dxa"/>
          </w:tcPr>
          <w:p w:rsidR="004423B1" w:rsidRPr="0052550F" w:rsidRDefault="004423B1" w:rsidP="00665F20">
            <w:pPr>
              <w:jc w:val="center"/>
              <w:rPr>
                <w:b/>
              </w:rPr>
            </w:pPr>
            <w:r w:rsidRPr="0052550F">
              <w:rPr>
                <w:b/>
              </w:rPr>
              <w:t>Opis</w:t>
            </w:r>
          </w:p>
        </w:tc>
      </w:tr>
      <w:tr w:rsidR="009D7E78" w:rsidRPr="0052550F" w:rsidTr="00EB5B5F">
        <w:tc>
          <w:tcPr>
            <w:tcW w:w="562" w:type="dxa"/>
          </w:tcPr>
          <w:p w:rsidR="009D7E78" w:rsidRPr="0052550F" w:rsidRDefault="00BB5476" w:rsidP="00821C4F">
            <w:pPr>
              <w:jc w:val="center"/>
            </w:pPr>
            <w:r w:rsidRPr="0052550F">
              <w:t>1</w:t>
            </w:r>
            <w:r w:rsidR="00821C4F" w:rsidRPr="0052550F">
              <w:t>.</w:t>
            </w:r>
          </w:p>
        </w:tc>
        <w:tc>
          <w:tcPr>
            <w:tcW w:w="2835" w:type="dxa"/>
          </w:tcPr>
          <w:p w:rsidR="009D7E78" w:rsidRPr="0052550F" w:rsidRDefault="009D7E78" w:rsidP="004423B1">
            <w:r w:rsidRPr="0052550F">
              <w:t>Przeznaczenie generatora</w:t>
            </w:r>
            <w:r w:rsidR="00BB5476" w:rsidRPr="0052550F">
              <w:t xml:space="preserve"> HPM</w:t>
            </w:r>
          </w:p>
        </w:tc>
        <w:tc>
          <w:tcPr>
            <w:tcW w:w="6096" w:type="dxa"/>
          </w:tcPr>
          <w:p w:rsidR="00D64D47" w:rsidRPr="0052550F" w:rsidRDefault="009D7E78" w:rsidP="00AB13CD">
            <w:pPr>
              <w:jc w:val="both"/>
            </w:pPr>
            <w:r w:rsidRPr="00D17017">
              <w:t xml:space="preserve">Generator </w:t>
            </w:r>
            <w:r w:rsidR="0063221A">
              <w:t xml:space="preserve">HPM </w:t>
            </w:r>
            <w:r w:rsidRPr="00D17017">
              <w:t xml:space="preserve">przeznaczony do prowadzenia badań oddziaływania </w:t>
            </w:r>
            <w:r w:rsidR="00F416FC" w:rsidRPr="00D17017">
              <w:t>fali</w:t>
            </w:r>
            <w:r w:rsidRPr="00D17017">
              <w:t xml:space="preserve"> elektromagnetyczne</w:t>
            </w:r>
            <w:r w:rsidR="00F416FC" w:rsidRPr="00D17017">
              <w:t>j</w:t>
            </w:r>
            <w:r w:rsidRPr="00D17017">
              <w:t xml:space="preserve"> o dużym natężeniu </w:t>
            </w:r>
            <w:r w:rsidR="00F416FC" w:rsidRPr="00D17017">
              <w:t>pola elektrycznego</w:t>
            </w:r>
            <w:r w:rsidR="003125F0">
              <w:t xml:space="preserve"> z materiałem biologicznym</w:t>
            </w:r>
            <w:r w:rsidR="00D17017" w:rsidRPr="00D17017">
              <w:t>.</w:t>
            </w:r>
            <w:r w:rsidRPr="00D17017">
              <w:t xml:space="preserve"> </w:t>
            </w:r>
            <w:r w:rsidR="00F548A6">
              <w:t xml:space="preserve">Generator </w:t>
            </w:r>
            <w:r w:rsidRPr="00D17017">
              <w:t xml:space="preserve">do badania zlokalizowany w </w:t>
            </w:r>
            <w:r w:rsidR="00120E86">
              <w:t>klatce Faraday’a</w:t>
            </w:r>
            <w:r w:rsidR="00D64D47" w:rsidRPr="00D17017">
              <w:t xml:space="preserve"> o stabilnych warunkach </w:t>
            </w:r>
            <w:r w:rsidR="00120E86">
              <w:t>środowiskowych (</w:t>
            </w:r>
            <w:r w:rsidR="00D64D47" w:rsidRPr="00D17017">
              <w:t>temperatur</w:t>
            </w:r>
            <w:r w:rsidR="00120E86">
              <w:t>a otoczenia</w:t>
            </w:r>
            <w:r w:rsidR="00D64D47" w:rsidRPr="00D17017">
              <w:t xml:space="preserve"> i wilgotnoś</w:t>
            </w:r>
            <w:r w:rsidR="001E3B70">
              <w:t>ć</w:t>
            </w:r>
            <w:r w:rsidR="00120E86">
              <w:t xml:space="preserve"> powietrza)</w:t>
            </w:r>
            <w:r w:rsidR="00D64D47" w:rsidRPr="00D17017">
              <w:t xml:space="preserve"> o wartości tłumienia sygnału </w:t>
            </w:r>
            <w:r w:rsidR="001E3B70">
              <w:t xml:space="preserve">mikrofalowego </w:t>
            </w:r>
            <w:r w:rsidR="001E3B70" w:rsidRPr="00D17017">
              <w:t xml:space="preserve"> </w:t>
            </w:r>
            <w:r w:rsidR="00D64D47" w:rsidRPr="00D17017">
              <w:t>do 120 dB</w:t>
            </w:r>
            <w:r w:rsidR="00240537">
              <w:t xml:space="preserve"> (na wyposażeniu zamawiającego)</w:t>
            </w:r>
            <w:r w:rsidRPr="00D17017">
              <w:t xml:space="preserve">. </w:t>
            </w:r>
            <w:r w:rsidR="00276FD6">
              <w:t>Klatka Faraday’a</w:t>
            </w:r>
            <w:r w:rsidR="00276FD6" w:rsidRPr="00D17017">
              <w:t xml:space="preserve"> </w:t>
            </w:r>
            <w:r w:rsidR="00D64D47" w:rsidRPr="00D17017">
              <w:t xml:space="preserve">wyłożona jest absorberami </w:t>
            </w:r>
            <w:r w:rsidR="00276FD6">
              <w:t>ferrytowymi</w:t>
            </w:r>
            <w:r w:rsidR="00D64D47" w:rsidRPr="00D17017">
              <w:t>, posiada przepust umożliwiający doprow</w:t>
            </w:r>
            <w:r w:rsidR="00F548A6">
              <w:t>adzenie światłowodów do kontroli parametrów obszaru badawczego oraz sterowaniem generatora</w:t>
            </w:r>
            <w:r w:rsidR="00D64D47" w:rsidRPr="00D17017">
              <w:t xml:space="preserve">. </w:t>
            </w:r>
            <w:r w:rsidR="00DA3A10">
              <w:t>Generator</w:t>
            </w:r>
            <w:r w:rsidR="00276FD6">
              <w:t xml:space="preserve"> HPM</w:t>
            </w:r>
            <w:r w:rsidR="00DA3A10">
              <w:t xml:space="preserve"> ze s</w:t>
            </w:r>
            <w:r w:rsidR="00D64D47">
              <w:t>tanowisk</w:t>
            </w:r>
            <w:r w:rsidR="00DA3A10">
              <w:t>iem badawczym</w:t>
            </w:r>
            <w:r w:rsidR="00D64D47">
              <w:t xml:space="preserve"> musi być na podstawie mobilnej </w:t>
            </w:r>
            <w:r w:rsidR="00925E4D">
              <w:t xml:space="preserve">(na kółkach z hamulcami) </w:t>
            </w:r>
            <w:r w:rsidR="00D64D47">
              <w:t xml:space="preserve">umożliwiającej wjazd/wyjazd z </w:t>
            </w:r>
            <w:r w:rsidR="00276FD6">
              <w:t>klatki Faraday’a</w:t>
            </w:r>
            <w:r w:rsidR="00925E4D">
              <w:t>.</w:t>
            </w:r>
            <w:r w:rsidR="00240537">
              <w:t xml:space="preserve"> </w:t>
            </w:r>
            <w:r w:rsidR="00240537" w:rsidRPr="0052550F">
              <w:t xml:space="preserve">Generator </w:t>
            </w:r>
            <w:r w:rsidR="00240537">
              <w:t xml:space="preserve">HPM powinien być </w:t>
            </w:r>
            <w:r w:rsidR="00240537" w:rsidRPr="0052550F">
              <w:t>zabezpieczony przed promieniowaniem własnym</w:t>
            </w:r>
            <w:r w:rsidR="00276FD6">
              <w:t>.</w:t>
            </w:r>
            <w:r w:rsidR="000553B3">
              <w:t xml:space="preserve"> Antena (połączona z generatorem HPM) umieszczona jest </w:t>
            </w:r>
            <w:r w:rsidR="00240537">
              <w:t xml:space="preserve">w komorze szczelnej elektromagnetycznie </w:t>
            </w:r>
            <w:r w:rsidR="00FD6C58">
              <w:t xml:space="preserve">zapewniającej tłumienie </w:t>
            </w:r>
            <w:r w:rsidR="00240537">
              <w:t>sygnału HPM o wartości co najmniej 45</w:t>
            </w:r>
            <w:r w:rsidR="00276FD6">
              <w:t xml:space="preserve"> </w:t>
            </w:r>
            <w:r w:rsidR="00240537">
              <w:t xml:space="preserve">dB. Komora wyposażona jest w zamykany otwór rewizyjny, przez który można umieszczać badane próbki biologiczne  oraz przepust umożliwiający pomiar </w:t>
            </w:r>
            <w:r w:rsidR="00FD6C58">
              <w:t xml:space="preserve">natężenia pola elektrycznego </w:t>
            </w:r>
            <w:r w:rsidR="00240537">
              <w:t>i temperatury</w:t>
            </w:r>
            <w:r w:rsidR="00AB13CD">
              <w:t xml:space="preserve"> </w:t>
            </w:r>
            <w:r w:rsidR="00FD6C58">
              <w:t xml:space="preserve">(za pomocą sondy </w:t>
            </w:r>
            <w:r w:rsidR="00604E66">
              <w:t>ś</w:t>
            </w:r>
            <w:r w:rsidR="00FD6C58">
              <w:t>wiatłowodowej)</w:t>
            </w:r>
            <w:r w:rsidR="00240537">
              <w:t>.</w:t>
            </w:r>
          </w:p>
        </w:tc>
      </w:tr>
      <w:tr w:rsidR="00BB5476" w:rsidRPr="0052550F" w:rsidTr="00EB5B5F">
        <w:tc>
          <w:tcPr>
            <w:tcW w:w="562" w:type="dxa"/>
          </w:tcPr>
          <w:p w:rsidR="00BB5476" w:rsidRPr="0052550F" w:rsidRDefault="00BB5476" w:rsidP="00BB5476">
            <w:pPr>
              <w:jc w:val="center"/>
            </w:pPr>
            <w:r w:rsidRPr="0052550F">
              <w:t>2.</w:t>
            </w:r>
          </w:p>
        </w:tc>
        <w:tc>
          <w:tcPr>
            <w:tcW w:w="2835" w:type="dxa"/>
          </w:tcPr>
          <w:p w:rsidR="00BB5476" w:rsidRPr="0052550F" w:rsidRDefault="00BB5476" w:rsidP="00BB5476">
            <w:r w:rsidRPr="0052550F">
              <w:t>Generator HPM</w:t>
            </w:r>
          </w:p>
        </w:tc>
        <w:tc>
          <w:tcPr>
            <w:tcW w:w="6096" w:type="dxa"/>
          </w:tcPr>
          <w:p w:rsidR="00D64D47" w:rsidRPr="0052550F" w:rsidRDefault="00BB5476" w:rsidP="00BB5476">
            <w:pPr>
              <w:jc w:val="both"/>
            </w:pPr>
            <w:r w:rsidRPr="0052550F">
              <w:t>Generator o</w:t>
            </w:r>
            <w:r w:rsidR="00DA3A10">
              <w:t>party na</w:t>
            </w:r>
            <w:r w:rsidR="00276FD6">
              <w:t xml:space="preserve"> mikrofalowej lampie generacyjnej</w:t>
            </w:r>
            <w:r w:rsidR="00DA3A10">
              <w:t xml:space="preserve"> magnetronie</w:t>
            </w:r>
            <w:r w:rsidR="00604E66">
              <w:t>.</w:t>
            </w:r>
          </w:p>
        </w:tc>
      </w:tr>
      <w:tr w:rsidR="00BB5476" w:rsidRPr="0052550F" w:rsidTr="00EB5B5F">
        <w:tc>
          <w:tcPr>
            <w:tcW w:w="562" w:type="dxa"/>
          </w:tcPr>
          <w:p w:rsidR="00BB5476" w:rsidRPr="0052550F" w:rsidRDefault="00BB5476" w:rsidP="00BB5476">
            <w:pPr>
              <w:jc w:val="center"/>
            </w:pPr>
            <w:r w:rsidRPr="0052550F">
              <w:t>3.</w:t>
            </w:r>
          </w:p>
        </w:tc>
        <w:tc>
          <w:tcPr>
            <w:tcW w:w="2835" w:type="dxa"/>
          </w:tcPr>
          <w:p w:rsidR="00BB5476" w:rsidRPr="0052550F" w:rsidRDefault="00BB5476" w:rsidP="00BB5476">
            <w:r w:rsidRPr="0052550F">
              <w:t>Zasilanie</w:t>
            </w:r>
          </w:p>
        </w:tc>
        <w:tc>
          <w:tcPr>
            <w:tcW w:w="6096" w:type="dxa"/>
          </w:tcPr>
          <w:p w:rsidR="00BB5476" w:rsidRPr="00D17017" w:rsidRDefault="00BB5476" w:rsidP="001F0D55">
            <w:pPr>
              <w:jc w:val="both"/>
            </w:pPr>
            <w:r w:rsidRPr="00D17017">
              <w:t xml:space="preserve">Z sieci 1-fazowej </w:t>
            </w:r>
            <w:r w:rsidR="003E4931">
              <w:t>(</w:t>
            </w:r>
            <w:r w:rsidRPr="00D17017">
              <w:t>230 V</w:t>
            </w:r>
            <w:r w:rsidR="003E4931">
              <w:t xml:space="preserve">; </w:t>
            </w:r>
            <w:r w:rsidRPr="00D17017">
              <w:t>50 Hz)</w:t>
            </w:r>
            <w:r w:rsidR="003E4931">
              <w:t xml:space="preserve"> lub 3-fazowej (40</w:t>
            </w:r>
            <w:r w:rsidR="008456CC">
              <w:t>0V</w:t>
            </w:r>
            <w:r w:rsidR="003E4931">
              <w:t>; 50 Hz</w:t>
            </w:r>
            <w:r w:rsidR="008456CC">
              <w:t>)</w:t>
            </w:r>
            <w:r w:rsidRPr="00D17017">
              <w:t>.</w:t>
            </w:r>
          </w:p>
        </w:tc>
      </w:tr>
      <w:tr w:rsidR="00BB5476" w:rsidRPr="0052550F" w:rsidTr="00EB5B5F">
        <w:tc>
          <w:tcPr>
            <w:tcW w:w="562" w:type="dxa"/>
          </w:tcPr>
          <w:p w:rsidR="00BB5476" w:rsidRPr="0052550F" w:rsidRDefault="00BB5476" w:rsidP="00BB5476">
            <w:pPr>
              <w:jc w:val="center"/>
            </w:pPr>
            <w:r w:rsidRPr="0052550F">
              <w:t>4.</w:t>
            </w:r>
          </w:p>
        </w:tc>
        <w:tc>
          <w:tcPr>
            <w:tcW w:w="2835" w:type="dxa"/>
          </w:tcPr>
          <w:p w:rsidR="00BB5476" w:rsidRPr="0052550F" w:rsidRDefault="00BB5476" w:rsidP="00BB5476">
            <w:r w:rsidRPr="0052550F">
              <w:t>Częstotliwość pracy</w:t>
            </w:r>
          </w:p>
        </w:tc>
        <w:tc>
          <w:tcPr>
            <w:tcW w:w="6096" w:type="dxa"/>
          </w:tcPr>
          <w:p w:rsidR="00BB5476" w:rsidRPr="00D17017" w:rsidRDefault="00BB5476" w:rsidP="00BB5476">
            <w:pPr>
              <w:jc w:val="both"/>
            </w:pPr>
            <w:r w:rsidRPr="00D17017">
              <w:t>3</w:t>
            </w:r>
            <w:r w:rsidR="00EB5B5F" w:rsidRPr="00D17017">
              <w:t>000</w:t>
            </w:r>
            <w:r w:rsidRPr="00D17017">
              <w:t xml:space="preserve"> </w:t>
            </w:r>
            <w:r w:rsidR="00EB5B5F" w:rsidRPr="00D17017">
              <w:sym w:font="Symbol" w:char="F0B1"/>
            </w:r>
            <w:r w:rsidR="00EB5B5F" w:rsidRPr="00D17017">
              <w:t xml:space="preserve"> 25 M</w:t>
            </w:r>
            <w:r w:rsidRPr="00D17017">
              <w:t>Hz</w:t>
            </w:r>
          </w:p>
        </w:tc>
      </w:tr>
      <w:tr w:rsidR="00BB5476" w:rsidRPr="0052550F" w:rsidTr="00EB5B5F">
        <w:tc>
          <w:tcPr>
            <w:tcW w:w="562" w:type="dxa"/>
          </w:tcPr>
          <w:p w:rsidR="00BB5476" w:rsidRPr="0052550F" w:rsidRDefault="00BB5476" w:rsidP="00BB5476">
            <w:pPr>
              <w:jc w:val="center"/>
            </w:pPr>
            <w:r w:rsidRPr="0052550F">
              <w:t>5.</w:t>
            </w:r>
          </w:p>
        </w:tc>
        <w:tc>
          <w:tcPr>
            <w:tcW w:w="2835" w:type="dxa"/>
          </w:tcPr>
          <w:p w:rsidR="00BB5476" w:rsidRPr="0052550F" w:rsidRDefault="00BB5476" w:rsidP="001F0D55">
            <w:r w:rsidRPr="0052550F">
              <w:t xml:space="preserve">Moc wyjściowa </w:t>
            </w:r>
            <w:r w:rsidR="001F0D55">
              <w:t>max.</w:t>
            </w:r>
          </w:p>
        </w:tc>
        <w:tc>
          <w:tcPr>
            <w:tcW w:w="6096" w:type="dxa"/>
          </w:tcPr>
          <w:p w:rsidR="00BB5476" w:rsidRPr="0052550F" w:rsidRDefault="00BB5476" w:rsidP="00BB5476">
            <w:pPr>
              <w:jc w:val="both"/>
            </w:pPr>
            <w:r w:rsidRPr="0052550F">
              <w:t>P</w:t>
            </w:r>
            <w:r w:rsidRPr="0052550F">
              <w:rPr>
                <w:vertAlign w:val="subscript"/>
              </w:rPr>
              <w:t>wyj</w:t>
            </w:r>
            <w:r w:rsidRPr="0052550F">
              <w:t xml:space="preserve"> </w:t>
            </w:r>
            <w:r w:rsidRPr="0052550F">
              <w:sym w:font="Symbol" w:char="F0B3"/>
            </w:r>
            <w:r w:rsidRPr="0052550F">
              <w:t xml:space="preserve"> 2 MW</w:t>
            </w:r>
          </w:p>
        </w:tc>
      </w:tr>
      <w:tr w:rsidR="00BB5476" w:rsidRPr="0052550F" w:rsidTr="00EB5B5F">
        <w:tc>
          <w:tcPr>
            <w:tcW w:w="562" w:type="dxa"/>
          </w:tcPr>
          <w:p w:rsidR="00BB5476" w:rsidRPr="0052550F" w:rsidRDefault="00BB5476" w:rsidP="00BB5476">
            <w:pPr>
              <w:jc w:val="center"/>
            </w:pPr>
            <w:r w:rsidRPr="0052550F">
              <w:t>6.</w:t>
            </w:r>
          </w:p>
        </w:tc>
        <w:tc>
          <w:tcPr>
            <w:tcW w:w="2835" w:type="dxa"/>
          </w:tcPr>
          <w:p w:rsidR="00BB5476" w:rsidRPr="0052550F" w:rsidRDefault="00BB5476" w:rsidP="00BB5476">
            <w:r w:rsidRPr="0052550F">
              <w:t>Zakres regulacji mocy wyjściowej</w:t>
            </w:r>
          </w:p>
        </w:tc>
        <w:tc>
          <w:tcPr>
            <w:tcW w:w="6096" w:type="dxa"/>
          </w:tcPr>
          <w:p w:rsidR="00BB5476" w:rsidRPr="0052550F" w:rsidRDefault="001F0D55" w:rsidP="00BB5476">
            <w:pPr>
              <w:jc w:val="both"/>
              <w:rPr>
                <w:vertAlign w:val="subscript"/>
              </w:rPr>
            </w:pPr>
            <w:r>
              <w:t>od 1,5 MW do 2 MW</w:t>
            </w:r>
          </w:p>
        </w:tc>
      </w:tr>
      <w:tr w:rsidR="00DA3A10" w:rsidRPr="0052550F" w:rsidTr="00EB5B5F">
        <w:tc>
          <w:tcPr>
            <w:tcW w:w="562" w:type="dxa"/>
          </w:tcPr>
          <w:p w:rsidR="00DA3A10" w:rsidRPr="0052550F" w:rsidRDefault="00DA3A10" w:rsidP="00BB5476">
            <w:pPr>
              <w:jc w:val="center"/>
            </w:pPr>
            <w:r>
              <w:t>7</w:t>
            </w:r>
            <w:r w:rsidR="00AB13CD">
              <w:t>.</w:t>
            </w:r>
          </w:p>
        </w:tc>
        <w:tc>
          <w:tcPr>
            <w:tcW w:w="2835" w:type="dxa"/>
          </w:tcPr>
          <w:p w:rsidR="00DA3A10" w:rsidRPr="0052550F" w:rsidRDefault="00DA3A10" w:rsidP="00BB5476">
            <w:r>
              <w:t xml:space="preserve">Wymiar obszaru roboczego </w:t>
            </w:r>
          </w:p>
        </w:tc>
        <w:tc>
          <w:tcPr>
            <w:tcW w:w="6096" w:type="dxa"/>
          </w:tcPr>
          <w:p w:rsidR="00DA3A10" w:rsidRDefault="00AB316E" w:rsidP="00AB316E">
            <w:pPr>
              <w:jc w:val="both"/>
            </w:pPr>
            <w:r>
              <w:t>250</w:t>
            </w:r>
            <w:r w:rsidR="00604E66">
              <w:t xml:space="preserve"> </w:t>
            </w:r>
            <w:r>
              <w:t>x</w:t>
            </w:r>
            <w:r w:rsidR="00604E66">
              <w:t xml:space="preserve"> </w:t>
            </w:r>
            <w:r>
              <w:t>250 mm (szer. x dł.</w:t>
            </w:r>
            <w:r w:rsidR="00DA3A10" w:rsidRPr="00D17017">
              <w:t>).</w:t>
            </w:r>
          </w:p>
        </w:tc>
      </w:tr>
      <w:tr w:rsidR="00BB5476" w:rsidRPr="0052550F" w:rsidTr="00EB5B5F">
        <w:tc>
          <w:tcPr>
            <w:tcW w:w="562" w:type="dxa"/>
          </w:tcPr>
          <w:p w:rsidR="00BB5476" w:rsidRPr="0052550F" w:rsidRDefault="00AB13CD" w:rsidP="00BB5476">
            <w:pPr>
              <w:jc w:val="center"/>
            </w:pPr>
            <w:r>
              <w:t>8</w:t>
            </w:r>
            <w:r w:rsidR="00BB5476" w:rsidRPr="0052550F">
              <w:t>.</w:t>
            </w:r>
          </w:p>
        </w:tc>
        <w:tc>
          <w:tcPr>
            <w:tcW w:w="2835" w:type="dxa"/>
          </w:tcPr>
          <w:p w:rsidR="00BB5476" w:rsidRPr="0052550F" w:rsidRDefault="00BB5476" w:rsidP="00BB5476">
            <w:r w:rsidRPr="0052550F">
              <w:t>Czas trwania impulsu</w:t>
            </w:r>
          </w:p>
        </w:tc>
        <w:tc>
          <w:tcPr>
            <w:tcW w:w="6096" w:type="dxa"/>
          </w:tcPr>
          <w:p w:rsidR="00BB5476" w:rsidRPr="0052550F" w:rsidRDefault="001F0D55" w:rsidP="001F0D55">
            <w:pPr>
              <w:jc w:val="both"/>
            </w:pPr>
            <w:r>
              <w:t>t</w:t>
            </w:r>
            <w:r>
              <w:rPr>
                <w:vertAlign w:val="subscript"/>
              </w:rPr>
              <w:t>i</w:t>
            </w:r>
            <w:r>
              <w:t xml:space="preserve"> </w:t>
            </w:r>
            <w:r>
              <w:sym w:font="Symbol" w:char="F040"/>
            </w:r>
            <w:r>
              <w:t xml:space="preserve"> </w:t>
            </w:r>
            <w:r w:rsidR="003E4931">
              <w:t xml:space="preserve">3 </w:t>
            </w:r>
            <w:r w:rsidR="003E4931" w:rsidRPr="0052550F">
              <w:sym w:font="Symbol" w:char="F06D"/>
            </w:r>
            <w:r w:rsidR="003E4931" w:rsidRPr="0052550F">
              <w:t>s</w:t>
            </w:r>
          </w:p>
        </w:tc>
      </w:tr>
      <w:tr w:rsidR="00BB5476" w:rsidRPr="0052550F" w:rsidTr="00EB5B5F">
        <w:tc>
          <w:tcPr>
            <w:tcW w:w="562" w:type="dxa"/>
          </w:tcPr>
          <w:p w:rsidR="00BB5476" w:rsidRPr="0052550F" w:rsidRDefault="00AB13CD" w:rsidP="00BB5476">
            <w:pPr>
              <w:jc w:val="center"/>
            </w:pPr>
            <w:r>
              <w:t>9</w:t>
            </w:r>
            <w:r w:rsidR="00BB5476" w:rsidRPr="0052550F">
              <w:t>.</w:t>
            </w:r>
          </w:p>
        </w:tc>
        <w:tc>
          <w:tcPr>
            <w:tcW w:w="2835" w:type="dxa"/>
          </w:tcPr>
          <w:p w:rsidR="00BB5476" w:rsidRPr="0052550F" w:rsidRDefault="001F0D55" w:rsidP="001F0D55">
            <w:r>
              <w:t>Praca</w:t>
            </w:r>
            <w:r w:rsidR="00BB5476" w:rsidRPr="0052550F">
              <w:t xml:space="preserve"> impuls</w:t>
            </w:r>
            <w:r>
              <w:t>owa</w:t>
            </w:r>
          </w:p>
        </w:tc>
        <w:tc>
          <w:tcPr>
            <w:tcW w:w="6096" w:type="dxa"/>
          </w:tcPr>
          <w:p w:rsidR="001F0D55" w:rsidRPr="00B05404" w:rsidRDefault="001F0D55" w:rsidP="00BB5476">
            <w:pPr>
              <w:jc w:val="both"/>
            </w:pPr>
            <w:r w:rsidRPr="00B05404">
              <w:t>Generator i układ sterowania ma umożliwiać pracę w trybie impulsowym i quasiciągłym</w:t>
            </w:r>
            <w:r w:rsidR="00604E66">
              <w:t xml:space="preserve"> (ciąg impulsów o regulowanej ilości impulsów)</w:t>
            </w:r>
            <w:r w:rsidRPr="00B05404">
              <w:t>.</w:t>
            </w:r>
          </w:p>
          <w:p w:rsidR="00BB5476" w:rsidRPr="00B05404" w:rsidRDefault="001F0D55" w:rsidP="00BB5476">
            <w:pPr>
              <w:jc w:val="both"/>
            </w:pPr>
            <w:r w:rsidRPr="00B05404">
              <w:t xml:space="preserve">W trybie impulsowym </w:t>
            </w:r>
            <w:r w:rsidR="00B05404">
              <w:t xml:space="preserve">generator </w:t>
            </w:r>
            <w:r w:rsidR="00604E66">
              <w:t xml:space="preserve">HPM </w:t>
            </w:r>
            <w:r w:rsidR="00B05404">
              <w:t>poprzez ukła</w:t>
            </w:r>
            <w:r w:rsidRPr="00B05404">
              <w:t xml:space="preserve">d sterowania umożliwia generację pojedynczych impulsów </w:t>
            </w:r>
            <w:r w:rsidR="00604E66">
              <w:t xml:space="preserve">o czasie trwania </w:t>
            </w:r>
            <w:r w:rsidRPr="00B05404">
              <w:t>t</w:t>
            </w:r>
            <w:r w:rsidRPr="00B05404">
              <w:rPr>
                <w:vertAlign w:val="subscript"/>
              </w:rPr>
              <w:t>i</w:t>
            </w:r>
            <w:r w:rsidRPr="00B05404">
              <w:sym w:font="Symbol" w:char="F040"/>
            </w:r>
            <w:r w:rsidRPr="00B05404">
              <w:t>3</w:t>
            </w:r>
            <w:r w:rsidR="00D86232" w:rsidRPr="00B05404">
              <w:t> </w:t>
            </w:r>
            <w:r w:rsidRPr="00B05404">
              <w:sym w:font="Symbol" w:char="F06D"/>
            </w:r>
            <w:r w:rsidRPr="00B05404">
              <w:t xml:space="preserve">s oraz generację </w:t>
            </w:r>
            <w:r w:rsidR="00604E66">
              <w:t>ciągu</w:t>
            </w:r>
            <w:r w:rsidR="00604E66" w:rsidRPr="00B05404">
              <w:t xml:space="preserve"> </w:t>
            </w:r>
            <w:r w:rsidRPr="00B05404">
              <w:t xml:space="preserve">impulsów </w:t>
            </w:r>
            <w:r w:rsidR="00B05404">
              <w:t>o</w:t>
            </w:r>
            <w:r w:rsidR="00604E66">
              <w:t xml:space="preserve"> czasie trwania pojedynczego impulsów</w:t>
            </w:r>
            <w:r w:rsidR="00B05404">
              <w:t xml:space="preserve"> </w:t>
            </w:r>
            <w:r w:rsidR="00B05404" w:rsidRPr="00B05404">
              <w:t>t</w:t>
            </w:r>
            <w:r w:rsidR="00B05404" w:rsidRPr="00B05404">
              <w:rPr>
                <w:vertAlign w:val="subscript"/>
              </w:rPr>
              <w:t>i</w:t>
            </w:r>
            <w:r w:rsidR="00B05404" w:rsidRPr="00B05404">
              <w:sym w:font="Symbol" w:char="F040"/>
            </w:r>
            <w:r w:rsidRPr="00B05404">
              <w:t>3</w:t>
            </w:r>
            <w:r w:rsidRPr="00B05404">
              <w:sym w:font="Symbol" w:char="F06D"/>
            </w:r>
            <w:r w:rsidR="00B05404">
              <w:t>s z</w:t>
            </w:r>
            <w:r w:rsidR="003567E3">
              <w:t xml:space="preserve"> okresem powtarzania Tp</w:t>
            </w:r>
            <w:r w:rsidR="003567E3" w:rsidRPr="00B05404">
              <w:sym w:font="Symbol" w:char="F040"/>
            </w:r>
            <w:r w:rsidR="003567E3">
              <w:t>1</w:t>
            </w:r>
            <w:r w:rsidR="003567E3" w:rsidRPr="00B05404">
              <w:t> s</w:t>
            </w:r>
            <w:r w:rsidR="00B05404">
              <w:t xml:space="preserve"> </w:t>
            </w:r>
            <w:r w:rsidR="003567E3">
              <w:t>.</w:t>
            </w:r>
            <w:r w:rsidRPr="00B05404">
              <w:t xml:space="preserve"> </w:t>
            </w:r>
            <w:r w:rsidR="003567E3">
              <w:t xml:space="preserve"> Quasiciągły tryb pracy</w:t>
            </w:r>
            <w:r w:rsidR="00B05404">
              <w:t xml:space="preserve"> </w:t>
            </w:r>
            <w:r w:rsidR="003567E3">
              <w:t xml:space="preserve">generatora HPM oznacza </w:t>
            </w:r>
            <w:r w:rsidR="006515AA">
              <w:t xml:space="preserve">generację ciągu impulsów o parametrach jak powyżej, gdzie moment </w:t>
            </w:r>
            <w:r w:rsidR="00703030">
              <w:t xml:space="preserve">rozpoczęcia i </w:t>
            </w:r>
            <w:r w:rsidR="006515AA">
              <w:lastRenderedPageBreak/>
              <w:t xml:space="preserve">zakończenia generacji ciągu impulsów określany jest przez operatora (układ sterujący zaopatrzony jest w funkcję licznika zliczającego ilość wygenerowanych impulsów) </w:t>
            </w:r>
            <w:r w:rsidR="00B05404">
              <w:t>.</w:t>
            </w:r>
          </w:p>
          <w:p w:rsidR="00BB5476" w:rsidRPr="00D5172D" w:rsidRDefault="00BB5476" w:rsidP="00B05404">
            <w:pPr>
              <w:jc w:val="both"/>
              <w:rPr>
                <w:highlight w:val="yellow"/>
              </w:rPr>
            </w:pPr>
          </w:p>
        </w:tc>
      </w:tr>
      <w:tr w:rsidR="00BB5476" w:rsidRPr="0052550F" w:rsidTr="00EB5B5F">
        <w:tc>
          <w:tcPr>
            <w:tcW w:w="562" w:type="dxa"/>
          </w:tcPr>
          <w:p w:rsidR="00BB5476" w:rsidRPr="0052550F" w:rsidRDefault="00AB13CD" w:rsidP="00BB5476">
            <w:pPr>
              <w:jc w:val="center"/>
            </w:pPr>
            <w:r>
              <w:lastRenderedPageBreak/>
              <w:t>10</w:t>
            </w:r>
            <w:r w:rsidR="00BB5476" w:rsidRPr="0052550F">
              <w:t>.</w:t>
            </w:r>
          </w:p>
        </w:tc>
        <w:tc>
          <w:tcPr>
            <w:tcW w:w="2835" w:type="dxa"/>
          </w:tcPr>
          <w:p w:rsidR="00BB5476" w:rsidRPr="0052550F" w:rsidRDefault="00BB5476" w:rsidP="00BB5476">
            <w:r w:rsidRPr="0052550F">
              <w:t>Antena</w:t>
            </w:r>
          </w:p>
        </w:tc>
        <w:tc>
          <w:tcPr>
            <w:tcW w:w="6096" w:type="dxa"/>
          </w:tcPr>
          <w:p w:rsidR="00BB5476" w:rsidRPr="003E4931" w:rsidRDefault="00AB316E" w:rsidP="00BB5476">
            <w:pPr>
              <w:jc w:val="both"/>
              <w:rPr>
                <w:highlight w:val="yellow"/>
              </w:rPr>
            </w:pPr>
            <w:r>
              <w:t>Odpowiednia</w:t>
            </w:r>
            <w:r w:rsidR="00B05404">
              <w:t xml:space="preserve"> dla uzyskania </w:t>
            </w:r>
            <w:r>
              <w:t xml:space="preserve">wymaganych </w:t>
            </w:r>
            <w:r w:rsidR="00B05404">
              <w:t>parametrów natężenia pola.</w:t>
            </w:r>
            <w:r w:rsidR="00330D3D" w:rsidRPr="00D5172D">
              <w:t xml:space="preserve"> </w:t>
            </w:r>
          </w:p>
        </w:tc>
      </w:tr>
      <w:tr w:rsidR="00653E3B" w:rsidRPr="0052550F" w:rsidTr="00653E3B">
        <w:tc>
          <w:tcPr>
            <w:tcW w:w="562" w:type="dxa"/>
          </w:tcPr>
          <w:p w:rsidR="00653E3B" w:rsidRPr="0052550F" w:rsidRDefault="00653E3B" w:rsidP="005B76CE">
            <w:pPr>
              <w:jc w:val="center"/>
            </w:pPr>
            <w:r w:rsidRPr="0052550F">
              <w:t>1</w:t>
            </w:r>
            <w:r>
              <w:t>1.</w:t>
            </w:r>
          </w:p>
        </w:tc>
        <w:tc>
          <w:tcPr>
            <w:tcW w:w="2835" w:type="dxa"/>
          </w:tcPr>
          <w:p w:rsidR="00653E3B" w:rsidRPr="0052550F" w:rsidRDefault="00653E3B" w:rsidP="005B76CE">
            <w:r w:rsidRPr="0052550F">
              <w:t xml:space="preserve">Natężenie pola </w:t>
            </w:r>
            <w:r>
              <w:t>elektrycznego</w:t>
            </w:r>
          </w:p>
        </w:tc>
        <w:tc>
          <w:tcPr>
            <w:tcW w:w="6096" w:type="dxa"/>
          </w:tcPr>
          <w:p w:rsidR="00653E3B" w:rsidRPr="0052550F" w:rsidRDefault="00653E3B" w:rsidP="005B76CE">
            <w:pPr>
              <w:jc w:val="both"/>
            </w:pPr>
            <w:r>
              <w:t>Regulowane w zakresie 85</w:t>
            </w:r>
            <w:r>
              <w:rPr>
                <w:rFonts w:cstheme="minorHAnsi"/>
              </w:rPr>
              <w:t>÷</w:t>
            </w:r>
            <w:r>
              <w:t>180 kV/m mierzone w odległości ok. 500 mm od apertury anteny.</w:t>
            </w:r>
          </w:p>
        </w:tc>
      </w:tr>
      <w:tr w:rsidR="00653E3B" w:rsidRPr="0052550F" w:rsidTr="00653E3B">
        <w:tc>
          <w:tcPr>
            <w:tcW w:w="562" w:type="dxa"/>
          </w:tcPr>
          <w:p w:rsidR="00653E3B" w:rsidRPr="0052550F" w:rsidRDefault="00653E3B" w:rsidP="005B76CE">
            <w:pPr>
              <w:jc w:val="center"/>
            </w:pPr>
            <w:r>
              <w:t>12.</w:t>
            </w:r>
          </w:p>
        </w:tc>
        <w:tc>
          <w:tcPr>
            <w:tcW w:w="2835" w:type="dxa"/>
          </w:tcPr>
          <w:p w:rsidR="00653E3B" w:rsidRPr="0052550F" w:rsidRDefault="00653E3B" w:rsidP="005B76CE">
            <w:r>
              <w:t>Obszar badawczy</w:t>
            </w:r>
          </w:p>
        </w:tc>
        <w:tc>
          <w:tcPr>
            <w:tcW w:w="6096" w:type="dxa"/>
          </w:tcPr>
          <w:p w:rsidR="00653E3B" w:rsidRPr="0052550F" w:rsidRDefault="00653E3B" w:rsidP="005B76CE">
            <w:pPr>
              <w:jc w:val="both"/>
            </w:pPr>
            <w:r>
              <w:t>Obszar badawczy określony jako obszar roboczy poddawany oddziaływaniu promieniowaniu HPM o wymiarach 250x250 mm (szer. x dł.) nakreślony na stoliku badawczym, na którym będzie umieszczany materiał biologiczny. Należy zapewnić możliwość regulacji w płaszczyźnie pionowej stolika badawczego w zakresie możliwości konstrukcyjnych komory badawczej w celu zmiany natężenia pola.</w:t>
            </w:r>
          </w:p>
        </w:tc>
      </w:tr>
      <w:tr w:rsidR="00653E3B" w:rsidRPr="0052550F" w:rsidTr="00653E3B">
        <w:tc>
          <w:tcPr>
            <w:tcW w:w="562" w:type="dxa"/>
          </w:tcPr>
          <w:p w:rsidR="00653E3B" w:rsidRDefault="00653E3B" w:rsidP="005B76CE">
            <w:pPr>
              <w:jc w:val="center"/>
            </w:pPr>
            <w:r>
              <w:t>13.</w:t>
            </w:r>
          </w:p>
        </w:tc>
        <w:tc>
          <w:tcPr>
            <w:tcW w:w="2835" w:type="dxa"/>
          </w:tcPr>
          <w:p w:rsidR="00653E3B" w:rsidRDefault="00653E3B" w:rsidP="005B76CE">
            <w:pPr>
              <w:rPr>
                <w:vertAlign w:val="superscript"/>
              </w:rPr>
            </w:pPr>
            <w:r>
              <w:t>Stałość wartości pola</w:t>
            </w:r>
            <w:r>
              <w:rPr>
                <w:vertAlign w:val="superscript"/>
              </w:rPr>
              <w:t>1)</w:t>
            </w:r>
          </w:p>
          <w:p w:rsidR="00653E3B" w:rsidRPr="00D47153" w:rsidRDefault="00653E3B" w:rsidP="005B76CE"/>
        </w:tc>
        <w:tc>
          <w:tcPr>
            <w:tcW w:w="6096" w:type="dxa"/>
          </w:tcPr>
          <w:p w:rsidR="00653E3B" w:rsidRDefault="00653E3B" w:rsidP="005B76CE">
            <w:pPr>
              <w:jc w:val="both"/>
            </w:pPr>
            <w:r>
              <w:t xml:space="preserve">Podstawą poprawności badań jest wymagana nie zmienność pola na powierzchni oddziaływania pola elektrycznego. Wymagana stałość wartości pola określono jako </w:t>
            </w:r>
            <w:r>
              <w:sym w:font="Symbol" w:char="F0B1"/>
            </w:r>
            <w:r>
              <w:t> 10% ustawionego natężenia pola w płaszczyźnie poziomej obszaru badawczego.</w:t>
            </w:r>
          </w:p>
        </w:tc>
      </w:tr>
      <w:tr w:rsidR="00653E3B" w:rsidRPr="0052550F" w:rsidTr="00653E3B">
        <w:tc>
          <w:tcPr>
            <w:tcW w:w="562" w:type="dxa"/>
          </w:tcPr>
          <w:p w:rsidR="00653E3B" w:rsidRPr="0052550F" w:rsidRDefault="00653E3B" w:rsidP="005B76CE">
            <w:pPr>
              <w:jc w:val="center"/>
            </w:pPr>
            <w:r w:rsidRPr="0052550F">
              <w:t>1</w:t>
            </w:r>
            <w:r>
              <w:t>4</w:t>
            </w:r>
            <w:r w:rsidRPr="0052550F">
              <w:t>.</w:t>
            </w:r>
          </w:p>
        </w:tc>
        <w:tc>
          <w:tcPr>
            <w:tcW w:w="2835" w:type="dxa"/>
          </w:tcPr>
          <w:p w:rsidR="00653E3B" w:rsidRPr="0052550F" w:rsidRDefault="00653E3B" w:rsidP="005B76CE">
            <w:r w:rsidRPr="0052550F">
              <w:t>Sterowanie generatorem</w:t>
            </w:r>
          </w:p>
        </w:tc>
        <w:tc>
          <w:tcPr>
            <w:tcW w:w="6096" w:type="dxa"/>
          </w:tcPr>
          <w:p w:rsidR="00653E3B" w:rsidRPr="0052550F" w:rsidRDefault="00653E3B" w:rsidP="005B76CE">
            <w:pPr>
              <w:jc w:val="both"/>
            </w:pPr>
            <w:r w:rsidRPr="0052550F">
              <w:t>Sterowa</w:t>
            </w:r>
            <w:r>
              <w:t>nie parametrami generatora HPM oraz parametry kontrolne odczytywane</w:t>
            </w:r>
            <w:r w:rsidRPr="0052550F">
              <w:t xml:space="preserve"> za pomocą </w:t>
            </w:r>
            <w:r>
              <w:t xml:space="preserve">oprogramowania zainstalowanego na </w:t>
            </w:r>
            <w:r w:rsidRPr="0052550F">
              <w:t>komputer</w:t>
            </w:r>
            <w:r>
              <w:t xml:space="preserve">ze PC, połączone </w:t>
            </w:r>
            <w:r w:rsidRPr="0052550F">
              <w:t xml:space="preserve">interfejsem USB lub RS232 </w:t>
            </w:r>
            <w:r>
              <w:t>z konwerterem światłowodowym.</w:t>
            </w:r>
          </w:p>
        </w:tc>
      </w:tr>
      <w:tr w:rsidR="00653E3B" w:rsidRPr="0052550F" w:rsidTr="00653E3B">
        <w:tc>
          <w:tcPr>
            <w:tcW w:w="562" w:type="dxa"/>
          </w:tcPr>
          <w:p w:rsidR="00653E3B" w:rsidRPr="0052550F" w:rsidRDefault="00653E3B" w:rsidP="005B76CE">
            <w:pPr>
              <w:jc w:val="center"/>
            </w:pPr>
            <w:r w:rsidRPr="0052550F">
              <w:t>1</w:t>
            </w:r>
            <w:r>
              <w:t>5</w:t>
            </w:r>
            <w:r w:rsidRPr="0052550F">
              <w:t>.</w:t>
            </w:r>
          </w:p>
        </w:tc>
        <w:tc>
          <w:tcPr>
            <w:tcW w:w="2835" w:type="dxa"/>
          </w:tcPr>
          <w:p w:rsidR="00653E3B" w:rsidRPr="0052550F" w:rsidRDefault="00653E3B" w:rsidP="005B76CE">
            <w:r w:rsidRPr="0052550F">
              <w:t>Chłodzenie</w:t>
            </w:r>
            <w:r>
              <w:t xml:space="preserve"> generatora</w:t>
            </w:r>
          </w:p>
        </w:tc>
        <w:tc>
          <w:tcPr>
            <w:tcW w:w="6096" w:type="dxa"/>
          </w:tcPr>
          <w:p w:rsidR="00653E3B" w:rsidRPr="0052550F" w:rsidRDefault="00653E3B" w:rsidP="005B76CE">
            <w:pPr>
              <w:jc w:val="both"/>
            </w:pPr>
            <w:r w:rsidRPr="0052550F">
              <w:t>Konwekcyjne</w:t>
            </w:r>
          </w:p>
        </w:tc>
      </w:tr>
      <w:tr w:rsidR="00653E3B" w:rsidRPr="0052550F" w:rsidTr="00653E3B">
        <w:tc>
          <w:tcPr>
            <w:tcW w:w="562" w:type="dxa"/>
          </w:tcPr>
          <w:p w:rsidR="00653E3B" w:rsidRPr="0052550F" w:rsidRDefault="00653E3B" w:rsidP="005B76CE">
            <w:pPr>
              <w:jc w:val="center"/>
            </w:pPr>
            <w:r>
              <w:t>16.</w:t>
            </w:r>
          </w:p>
        </w:tc>
        <w:tc>
          <w:tcPr>
            <w:tcW w:w="2835" w:type="dxa"/>
          </w:tcPr>
          <w:p w:rsidR="00653E3B" w:rsidRPr="00AB316E" w:rsidRDefault="00653E3B" w:rsidP="005B76CE">
            <w:pPr>
              <w:rPr>
                <w:vertAlign w:val="superscript"/>
              </w:rPr>
            </w:pPr>
            <w:r>
              <w:t>Wymiary generatora</w:t>
            </w:r>
            <w:r>
              <w:rPr>
                <w:vertAlign w:val="superscript"/>
              </w:rPr>
              <w:t>2)</w:t>
            </w:r>
          </w:p>
        </w:tc>
        <w:tc>
          <w:tcPr>
            <w:tcW w:w="6096" w:type="dxa"/>
          </w:tcPr>
          <w:p w:rsidR="00653E3B" w:rsidRPr="00D17017" w:rsidRDefault="00653E3B" w:rsidP="005B76CE">
            <w:r w:rsidRPr="00D17017">
              <w:t xml:space="preserve">Wymiary </w:t>
            </w:r>
            <w:r>
              <w:t xml:space="preserve">generatora HPM ze </w:t>
            </w:r>
            <w:r w:rsidRPr="00D17017">
              <w:t>stanowisk</w:t>
            </w:r>
            <w:r>
              <w:t>iem</w:t>
            </w:r>
            <w:r w:rsidRPr="00D17017">
              <w:t xml:space="preserve"> badawcz</w:t>
            </w:r>
            <w:r>
              <w:t>ym</w:t>
            </w:r>
            <w:r w:rsidRPr="00D17017">
              <w:t xml:space="preserve"> wewnątrz komory nie</w:t>
            </w:r>
            <w:r>
              <w:t xml:space="preserve"> większe niż: 300x1500x1150mm</w:t>
            </w:r>
          </w:p>
        </w:tc>
      </w:tr>
      <w:tr w:rsidR="00653E3B" w:rsidRPr="0052550F" w:rsidTr="00653E3B">
        <w:tc>
          <w:tcPr>
            <w:tcW w:w="562" w:type="dxa"/>
          </w:tcPr>
          <w:p w:rsidR="00653E3B" w:rsidRPr="0052550F" w:rsidRDefault="00653E3B" w:rsidP="005B76CE">
            <w:pPr>
              <w:jc w:val="center"/>
            </w:pPr>
            <w:r>
              <w:t>17.</w:t>
            </w:r>
          </w:p>
        </w:tc>
        <w:tc>
          <w:tcPr>
            <w:tcW w:w="2835" w:type="dxa"/>
          </w:tcPr>
          <w:p w:rsidR="00653E3B" w:rsidRPr="0052550F" w:rsidRDefault="00653E3B" w:rsidP="005B76CE">
            <w:r>
              <w:t>Masa urządzenia</w:t>
            </w:r>
          </w:p>
        </w:tc>
        <w:tc>
          <w:tcPr>
            <w:tcW w:w="6096" w:type="dxa"/>
          </w:tcPr>
          <w:p w:rsidR="00653E3B" w:rsidRPr="0052550F" w:rsidRDefault="00653E3B" w:rsidP="005B76CE">
            <w:pPr>
              <w:jc w:val="both"/>
            </w:pPr>
            <w:r>
              <w:t>do 200 kg</w:t>
            </w:r>
          </w:p>
        </w:tc>
      </w:tr>
    </w:tbl>
    <w:p w:rsidR="00AB13CD" w:rsidRDefault="00AB13CD"/>
    <w:p w:rsidR="004423B1" w:rsidRPr="000F3A81" w:rsidRDefault="004423B1" w:rsidP="004423B1">
      <w:pPr>
        <w:spacing w:after="0" w:line="240" w:lineRule="auto"/>
        <w:rPr>
          <w:sz w:val="16"/>
          <w:szCs w:val="16"/>
        </w:rPr>
      </w:pPr>
    </w:p>
    <w:p w:rsidR="004423B1" w:rsidRPr="0052550F" w:rsidRDefault="00726453" w:rsidP="004423B1">
      <w:pPr>
        <w:spacing w:after="0" w:line="240" w:lineRule="auto"/>
        <w:rPr>
          <w:b/>
          <w:u w:val="single"/>
        </w:rPr>
      </w:pPr>
      <w:r w:rsidRPr="0052550F">
        <w:rPr>
          <w:b/>
          <w:u w:val="single"/>
        </w:rPr>
        <w:t>Uwagi:</w:t>
      </w:r>
    </w:p>
    <w:p w:rsidR="00AB316E" w:rsidRDefault="00AB316E" w:rsidP="00AF265A">
      <w:pPr>
        <w:spacing w:after="0" w:line="240" w:lineRule="auto"/>
        <w:ind w:left="851" w:hanging="851"/>
        <w:jc w:val="both"/>
      </w:pPr>
    </w:p>
    <w:p w:rsidR="00AB316E" w:rsidRPr="00AB316E" w:rsidRDefault="00AB316E" w:rsidP="00AB316E">
      <w:pPr>
        <w:spacing w:after="0" w:line="240" w:lineRule="auto"/>
        <w:ind w:left="567" w:hanging="567"/>
        <w:jc w:val="both"/>
      </w:pPr>
      <w:r>
        <w:rPr>
          <w:vertAlign w:val="superscript"/>
        </w:rPr>
        <w:t xml:space="preserve">1) </w:t>
      </w:r>
      <w:r>
        <w:t xml:space="preserve">- </w:t>
      </w:r>
      <w:r w:rsidRPr="00AB316E">
        <w:t>rozumiana jako odchylenie od wartości ustawionej na sterowaniu generatorem oraz jako niejednorodność pola na powierzchni obszaru badawczego.</w:t>
      </w:r>
    </w:p>
    <w:p w:rsidR="00AB316E" w:rsidRDefault="00AB316E" w:rsidP="004D1EC7">
      <w:pPr>
        <w:spacing w:after="0" w:line="240" w:lineRule="auto"/>
        <w:jc w:val="both"/>
      </w:pPr>
    </w:p>
    <w:p w:rsidR="000F3A81" w:rsidRDefault="00AB316E" w:rsidP="00AF265A">
      <w:pPr>
        <w:spacing w:after="0" w:line="240" w:lineRule="auto"/>
        <w:ind w:left="851" w:hanging="851"/>
        <w:jc w:val="both"/>
      </w:pPr>
      <w:r>
        <w:rPr>
          <w:vertAlign w:val="superscript"/>
        </w:rPr>
        <w:t>2)</w:t>
      </w:r>
      <w:r>
        <w:t xml:space="preserve"> - w</w:t>
      </w:r>
      <w:r w:rsidR="000F3A81">
        <w:t>ymiary or</w:t>
      </w:r>
      <w:r w:rsidR="00947A40">
        <w:t>ientacyjne, umożliwiające</w:t>
      </w:r>
      <w:r w:rsidR="000F3A81">
        <w:t xml:space="preserve"> transport przez ciągi komunikacyjne </w:t>
      </w:r>
      <w:r w:rsidR="00947A40">
        <w:t xml:space="preserve">oraz wjazd do </w:t>
      </w:r>
      <w:r w:rsidR="00EB64C3">
        <w:t>klatki Faraday’a</w:t>
      </w:r>
      <w:r w:rsidR="000F3A81">
        <w:t>.</w:t>
      </w:r>
    </w:p>
    <w:p w:rsidR="008C7657" w:rsidRDefault="008C7657" w:rsidP="00AF265A">
      <w:pPr>
        <w:spacing w:after="0" w:line="240" w:lineRule="auto"/>
        <w:ind w:left="851" w:hanging="851"/>
        <w:jc w:val="both"/>
      </w:pPr>
    </w:p>
    <w:p w:rsidR="003B7AC7" w:rsidRPr="00AB13CD" w:rsidRDefault="00AB13CD" w:rsidP="00AF265A">
      <w:pPr>
        <w:spacing w:after="0" w:line="240" w:lineRule="auto"/>
        <w:ind w:left="851" w:hanging="851"/>
        <w:jc w:val="both"/>
        <w:rPr>
          <w:b/>
        </w:rPr>
      </w:pPr>
      <w:r w:rsidRPr="00AB13CD">
        <w:rPr>
          <w:b/>
        </w:rPr>
        <w:t>Zamówienie nie obejmuje:</w:t>
      </w:r>
    </w:p>
    <w:p w:rsidR="00AB13CD" w:rsidRDefault="00AB13CD" w:rsidP="00AF265A">
      <w:pPr>
        <w:spacing w:after="0" w:line="240" w:lineRule="auto"/>
        <w:ind w:left="851" w:hanging="851"/>
        <w:jc w:val="both"/>
      </w:pPr>
      <w:r>
        <w:t xml:space="preserve">- </w:t>
      </w:r>
      <w:r w:rsidR="00C62B26">
        <w:t>Klatki Faraday’a</w:t>
      </w:r>
      <w:r>
        <w:t xml:space="preserve">, w której ma być zamontowany generator </w:t>
      </w:r>
      <w:r w:rsidR="00C62B26">
        <w:t>HPM</w:t>
      </w:r>
      <w:r>
        <w:t xml:space="preserve"> i komor</w:t>
      </w:r>
      <w:r w:rsidR="001C1BB7">
        <w:t>a</w:t>
      </w:r>
      <w:r>
        <w:t xml:space="preserve"> referencyjn</w:t>
      </w:r>
      <w:r w:rsidR="001C1BB7">
        <w:t>a</w:t>
      </w:r>
      <w:r w:rsidR="00703030">
        <w:t>,</w:t>
      </w:r>
    </w:p>
    <w:p w:rsidR="00AB13CD" w:rsidRDefault="00AB13CD" w:rsidP="00AF265A">
      <w:pPr>
        <w:spacing w:after="0" w:line="240" w:lineRule="auto"/>
        <w:ind w:left="851" w:hanging="851"/>
        <w:jc w:val="both"/>
      </w:pPr>
      <w:r>
        <w:t>- światłowodowe sondy pomiarowe pola i temperatury z konwerterami</w:t>
      </w:r>
      <w:r w:rsidR="00703030">
        <w:t>,</w:t>
      </w:r>
    </w:p>
    <w:p w:rsidR="00AB13CD" w:rsidRDefault="00AB13CD" w:rsidP="00AF265A">
      <w:pPr>
        <w:spacing w:after="0" w:line="240" w:lineRule="auto"/>
        <w:ind w:left="851" w:hanging="851"/>
        <w:jc w:val="both"/>
      </w:pPr>
      <w:r>
        <w:t xml:space="preserve">- komputer </w:t>
      </w:r>
      <w:r w:rsidR="00C62B26">
        <w:t xml:space="preserve">PC, </w:t>
      </w:r>
      <w:r>
        <w:t>na którym ma być zainstalowane oprogramowanie sterująco-kontrolne generatora HPM</w:t>
      </w:r>
      <w:r w:rsidR="00703030">
        <w:t>.</w:t>
      </w:r>
    </w:p>
    <w:p w:rsidR="008C7657" w:rsidRDefault="008C7657" w:rsidP="008C7657">
      <w:pPr>
        <w:spacing w:after="0" w:line="240" w:lineRule="auto"/>
        <w:ind w:left="851" w:hanging="851"/>
        <w:jc w:val="center"/>
      </w:pPr>
    </w:p>
    <w:p w:rsidR="008C7657" w:rsidRPr="0052550F" w:rsidRDefault="008C7657" w:rsidP="00AF265A">
      <w:pPr>
        <w:spacing w:after="0" w:line="240" w:lineRule="auto"/>
        <w:ind w:left="851" w:hanging="851"/>
        <w:jc w:val="both"/>
      </w:pPr>
    </w:p>
    <w:sectPr w:rsidR="008C7657" w:rsidRPr="0052550F" w:rsidSect="00EB5B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606" w:rsidRDefault="00016606" w:rsidP="00E57013">
      <w:pPr>
        <w:spacing w:after="0" w:line="240" w:lineRule="auto"/>
      </w:pPr>
      <w:r>
        <w:separator/>
      </w:r>
    </w:p>
  </w:endnote>
  <w:endnote w:type="continuationSeparator" w:id="0">
    <w:p w:rsidR="00016606" w:rsidRDefault="00016606" w:rsidP="00E5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BD2" w:rsidRDefault="00525B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013" w:rsidRDefault="00FE2F73" w:rsidP="00FE2F7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010A5">
      <w:rPr>
        <w:noProof/>
      </w:rPr>
      <w:t>1</w:t>
    </w:r>
    <w:r>
      <w:fldChar w:fldCharType="end"/>
    </w:r>
    <w:r>
      <w:t xml:space="preserve"> / </w:t>
    </w:r>
    <w:r w:rsidR="00525BD2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BD2" w:rsidRDefault="00525B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606" w:rsidRDefault="00016606" w:rsidP="00E57013">
      <w:pPr>
        <w:spacing w:after="0" w:line="240" w:lineRule="auto"/>
      </w:pPr>
      <w:r>
        <w:separator/>
      </w:r>
    </w:p>
  </w:footnote>
  <w:footnote w:type="continuationSeparator" w:id="0">
    <w:p w:rsidR="00016606" w:rsidRDefault="00016606" w:rsidP="00E5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BD2" w:rsidRDefault="00525B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BD2" w:rsidRDefault="00525B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BD2" w:rsidRDefault="00525B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59"/>
    <w:rsid w:val="000047C1"/>
    <w:rsid w:val="00016606"/>
    <w:rsid w:val="00024C08"/>
    <w:rsid w:val="000553B3"/>
    <w:rsid w:val="00095C59"/>
    <w:rsid w:val="000D06B4"/>
    <w:rsid w:val="000E430C"/>
    <w:rsid w:val="000E5B96"/>
    <w:rsid w:val="000F3A81"/>
    <w:rsid w:val="00120E86"/>
    <w:rsid w:val="001268D6"/>
    <w:rsid w:val="001273B2"/>
    <w:rsid w:val="00163590"/>
    <w:rsid w:val="00181E8E"/>
    <w:rsid w:val="00191AE8"/>
    <w:rsid w:val="001C1BB7"/>
    <w:rsid w:val="001E3B70"/>
    <w:rsid w:val="001F0D55"/>
    <w:rsid w:val="00240537"/>
    <w:rsid w:val="00276FD6"/>
    <w:rsid w:val="00292973"/>
    <w:rsid w:val="002B2A9A"/>
    <w:rsid w:val="002D3388"/>
    <w:rsid w:val="002E2ADD"/>
    <w:rsid w:val="002E2CCD"/>
    <w:rsid w:val="003125F0"/>
    <w:rsid w:val="00330D3D"/>
    <w:rsid w:val="003567E3"/>
    <w:rsid w:val="003636A5"/>
    <w:rsid w:val="003A0CDE"/>
    <w:rsid w:val="003B7AC7"/>
    <w:rsid w:val="003E4931"/>
    <w:rsid w:val="004423B1"/>
    <w:rsid w:val="00450415"/>
    <w:rsid w:val="004954C3"/>
    <w:rsid w:val="004A0518"/>
    <w:rsid w:val="004B4DFE"/>
    <w:rsid w:val="004C6548"/>
    <w:rsid w:val="004D1EC7"/>
    <w:rsid w:val="0052550F"/>
    <w:rsid w:val="00525BD2"/>
    <w:rsid w:val="00572133"/>
    <w:rsid w:val="005A6C71"/>
    <w:rsid w:val="005B5B21"/>
    <w:rsid w:val="005C770E"/>
    <w:rsid w:val="005D3F8A"/>
    <w:rsid w:val="00604E66"/>
    <w:rsid w:val="00607A33"/>
    <w:rsid w:val="006137F8"/>
    <w:rsid w:val="0063221A"/>
    <w:rsid w:val="006515AA"/>
    <w:rsid w:val="0065270F"/>
    <w:rsid w:val="00653E3B"/>
    <w:rsid w:val="00665F20"/>
    <w:rsid w:val="00677EFE"/>
    <w:rsid w:val="00696B8C"/>
    <w:rsid w:val="006C4DDC"/>
    <w:rsid w:val="00703030"/>
    <w:rsid w:val="00726453"/>
    <w:rsid w:val="00741537"/>
    <w:rsid w:val="007572AA"/>
    <w:rsid w:val="007951E7"/>
    <w:rsid w:val="007D2919"/>
    <w:rsid w:val="007E78A5"/>
    <w:rsid w:val="007F024E"/>
    <w:rsid w:val="0082193E"/>
    <w:rsid w:val="00821C4F"/>
    <w:rsid w:val="008456CC"/>
    <w:rsid w:val="00875559"/>
    <w:rsid w:val="008C7657"/>
    <w:rsid w:val="00906250"/>
    <w:rsid w:val="00925E4D"/>
    <w:rsid w:val="00947A40"/>
    <w:rsid w:val="009D109B"/>
    <w:rsid w:val="009D237B"/>
    <w:rsid w:val="009D7E78"/>
    <w:rsid w:val="00A010A5"/>
    <w:rsid w:val="00A2503E"/>
    <w:rsid w:val="00AB13CD"/>
    <w:rsid w:val="00AB316E"/>
    <w:rsid w:val="00AC2836"/>
    <w:rsid w:val="00AF265A"/>
    <w:rsid w:val="00B05404"/>
    <w:rsid w:val="00B1732F"/>
    <w:rsid w:val="00B23E6C"/>
    <w:rsid w:val="00B55D02"/>
    <w:rsid w:val="00B609D9"/>
    <w:rsid w:val="00B716AB"/>
    <w:rsid w:val="00B83FEA"/>
    <w:rsid w:val="00BB5476"/>
    <w:rsid w:val="00C424C8"/>
    <w:rsid w:val="00C47927"/>
    <w:rsid w:val="00C62B26"/>
    <w:rsid w:val="00C71A9A"/>
    <w:rsid w:val="00CD60BE"/>
    <w:rsid w:val="00D17017"/>
    <w:rsid w:val="00D34D38"/>
    <w:rsid w:val="00D47153"/>
    <w:rsid w:val="00D5172D"/>
    <w:rsid w:val="00D6429B"/>
    <w:rsid w:val="00D64D47"/>
    <w:rsid w:val="00D86232"/>
    <w:rsid w:val="00D87BBF"/>
    <w:rsid w:val="00DA3A10"/>
    <w:rsid w:val="00DA5B92"/>
    <w:rsid w:val="00DB5BDC"/>
    <w:rsid w:val="00DB68D2"/>
    <w:rsid w:val="00DC1144"/>
    <w:rsid w:val="00E50DAD"/>
    <w:rsid w:val="00E523F7"/>
    <w:rsid w:val="00E57013"/>
    <w:rsid w:val="00EA327E"/>
    <w:rsid w:val="00EB5B5F"/>
    <w:rsid w:val="00EB64C3"/>
    <w:rsid w:val="00F15E43"/>
    <w:rsid w:val="00F365BB"/>
    <w:rsid w:val="00F416FC"/>
    <w:rsid w:val="00F532C9"/>
    <w:rsid w:val="00F548A6"/>
    <w:rsid w:val="00FD6C58"/>
    <w:rsid w:val="00FE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EBCE8"/>
  <w15:docId w15:val="{61318204-F7CC-448B-8200-C23F099C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442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1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6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013"/>
  </w:style>
  <w:style w:type="paragraph" w:styleId="Stopka">
    <w:name w:val="footer"/>
    <w:basedOn w:val="Normalny"/>
    <w:link w:val="StopkaZnak"/>
    <w:uiPriority w:val="99"/>
    <w:unhideWhenUsed/>
    <w:rsid w:val="00E5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013"/>
  </w:style>
  <w:style w:type="paragraph" w:styleId="Akapitzlist">
    <w:name w:val="List Paragraph"/>
    <w:basedOn w:val="Normalny"/>
    <w:uiPriority w:val="34"/>
    <w:qFormat/>
    <w:rsid w:val="00AB31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5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5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5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A414F-11F5-4832-9839-87D08DE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Błażejewicz</dc:creator>
  <cp:lastModifiedBy>Kluza-Kajka Justyna</cp:lastModifiedBy>
  <cp:revision>2</cp:revision>
  <cp:lastPrinted>2018-05-18T07:14:00Z</cp:lastPrinted>
  <dcterms:created xsi:type="dcterms:W3CDTF">2018-06-19T08:20:00Z</dcterms:created>
  <dcterms:modified xsi:type="dcterms:W3CDTF">2018-06-19T08:20:00Z</dcterms:modified>
</cp:coreProperties>
</file>